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color="auto" w:val="single"/>
        </w:rPr>
        <w:t>Правила проведения Опен-колла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«Теории и практики внимания»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 Опен-колла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Опен-колла является выбор 20 Участников онлайн для реализации программы лаборатории «Теории и практики внимания» (далее также — Программа). К участию приглашаются исследователи, которым интересны вопросы внимания с точки зрения современной культуры, философии, психофизиологии, нейронаук, экономики, теории искусства и других областей знания и которые хотели бы развить свое исследование в диалоге с представителями других дисциплин.</w:t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  <w:t>Встречи Программы пройдут с 8 октября по 25 марта 2024 года в гибридном режиме онлайн — лекции, воркшопы и ридинг-группы.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Завершением Программы станет серия внутренних докладов и избирательная подготовка публикаций для тематического издания V–A–C.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об Организаторе</w:t>
      </w:r>
    </w:p>
    <w:p>
      <w:pPr>
        <w:spacing w:before="240" w:after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ОГРН 1187700010871.</w:t>
      </w:r>
      <w:r>
        <w:rPr>
          <w:i/>
          <w:sz w:val="24"/>
          <w:szCs w:val="24"/>
        </w:rPr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размещения информации об Опен-колле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7" w:history="1">
        <w:r>
          <w:rPr>
            <w:color w:val="1155cc"/>
            <w:sz w:val="24"/>
            <w:szCs w:val="24"/>
            <w:u w:color="auto" w:val="single"/>
          </w:rPr>
          <w:t>https://ges-2.org/theories-and-practices-of-attention-open-call-for-researchers</w:t>
        </w:r>
      </w:hyperlink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8" w:history="1">
        <w:r>
          <w:rPr>
            <w:sz w:val="24"/>
            <w:szCs w:val="24"/>
            <w:u w:color="auto" w:val="single"/>
          </w:rPr>
          <w:t>research@v-a-c.org</w:t>
        </w:r>
      </w:hyperlink>
      <w:r>
        <w:rPr>
          <w:sz w:val="24"/>
          <w:szCs w:val="24"/>
        </w:rPr>
        <w:t xml:space="preserve"> с темой «Теории и практики внимания».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Этапы и сроки проведения Опен-колла</w:t>
      </w:r>
    </w:p>
    <w:p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1 по 22 сентября 2024 года.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рассмотрения заявок Участников — с 23 по 30 сентября 2024 года. </w:t>
        <w:br w:type="textWrapping"/>
        <w:t>Подведение итогов и публикация списка Участников, прошедших отбор, — 1 октября 2024 года.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Требования к Участникам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Участником Опен-колла может быть совершеннолетний </w:t>
      </w:r>
      <w:r>
        <w:rPr>
          <w:highlight w:val="white"/>
          <w:sz w:val="24"/>
          <w:szCs w:val="24"/>
        </w:rPr>
        <w:t>гражданин РФ</w:t>
      </w:r>
      <w:r>
        <w:rPr>
          <w:sz w:val="24"/>
          <w:szCs w:val="24"/>
        </w:rPr>
        <w:t xml:space="preserve">. Участие в Программе предполагает постоянное участие в серии онлайн-мероприятий. 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Решение будет принято индивидуально по каждому Участнику.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оформления и подачи заявок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Опен-колле каждому Участнику необходимо в срок не позднее 22 сентября 2024 года 23:59 по московскому времени включительно заполнить анкету, доступную на странице Опен-колла, и приложить к анкете: </w:t>
      </w:r>
    </w:p>
    <w:p>
      <w:pPr>
        <w:spacing w:before="240" w:after="240"/>
        <w:jc w:val="both"/>
        <w:rPr>
          <w:sz w:val="24"/>
          <w:szCs w:val="24"/>
        </w:rPr>
      </w:pPr>
      <w:r/>
      <w:bookmarkStart w:id="0" w:name="_heading=h.gjdgxs"/>
      <w:r/>
      <w:bookmarkEnd w:id="0"/>
      <w:r/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мотивационное письмо о том, почему вы хотели бы принять участие в лаборатории и какие подходы к исследованию внимания вам особенно интересны;</w:t>
      </w:r>
      <w:r>
        <w:rPr>
          <w:sz w:val="24"/>
          <w:szCs w:val="24"/>
        </w:rPr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– образец текста (план текста) и/или ссылку на запись выступления по релевантной Опен-коллу теме;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>
        <w:rPr>
          <w:i/>
          <w:sz w:val="24"/>
          <w:szCs w:val="24"/>
        </w:rPr>
        <w:t xml:space="preserve">PDF </w:t>
      </w:r>
      <w:r>
        <w:rPr>
          <w:sz w:val="24"/>
          <w:szCs w:val="24"/>
        </w:rPr>
        <w:t xml:space="preserve">или в виде четкой фотографии формата </w:t>
      </w:r>
      <w:r>
        <w:rPr>
          <w:i/>
          <w:sz w:val="24"/>
          <w:szCs w:val="24"/>
        </w:rPr>
        <w:t xml:space="preserve">JPG </w:t>
      </w:r>
      <w:r>
        <w:rPr>
          <w:sz w:val="24"/>
          <w:szCs w:val="24"/>
        </w:rPr>
        <w:t>с графическим отображением подписи Участника.</w:t>
      </w:r>
      <w:r>
        <w:rPr>
          <w:sz w:val="24"/>
          <w:szCs w:val="24"/>
        </w:rPr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Участниками в составе заявки мотивационное письмо, а также образец текста и/или содержание записи выступления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предварительного согласия Участника Проекта.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рассмотрения заявок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 целях выбора потенциальных Участников Программы Организатор формирует Жюри, состоящее из работников Организатора.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следующих случаях: форма согласия изменена без согласования с Организатором, Участник не соответствует установленным требованиям Опен-колла, в заявке отсутствуют сведения и материалы, перечисленные в требованиях.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заявок и порядок определения Победителей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Опен-колла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итогах Опен-колла, а также об Участниках, признанных Победителями (фамилия, имя),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Изменение или отмена Опен-колла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Участники самостоятельно несут все расходы, связанные с участием в Опен-колле,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>
      <w:pPr>
        <w:spacing w:before="240"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Правовая основа Опен-колла</w:t>
      </w:r>
    </w:p>
    <w:p>
      <w:pPr>
        <w:spacing w:before="240" w:after="240"/>
        <w:jc w:val="both"/>
      </w:pPr>
      <w:r>
        <w:rPr>
          <w:sz w:val="24"/>
          <w:szCs w:val="24"/>
        </w:rP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440" w:top="1440" w:right="1440" w:bottom="1440"/>
      <w:paperSrc w:first="0" w:other="0" a="0" b="0"/>
      <w:pgNumType w:fmt="decimal" w:start="1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Arial">
    <w:charset w:val="00"/>
    <w:family w:val="roman"/>
    <w:pitch w:val="default"/>
  </w:font>
  <w:font w:name="Georgia">
    <w:charset w:val="00"/>
    <w:family w:val="roman"/>
    <w:pitch w:val="default"/>
  </w:font>
  <w:font w:name="Helvetica Neue">
    <w:charset w:val="00"/>
    <w:family w:val="roman"/>
    <w:pitch w:val="default"/>
  </w:font>
  <w:font w:name="Arial Unicode MS">
    <w:charset w:val="00"/>
    <w:family w:val="roman"/>
    <w:pitch w:val="default"/>
  </w:font>
  <w:font w:name="Liberation Sans">
    <w:charset w:val="00"/>
    <w:family w:val="auto"/>
    <w:pitch w:val="default"/>
  </w:font>
  <w:font w:name="PingFang SC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line="240" w:lineRule="auto"/>
      <w:tabs defTabSz="720">
        <w:tab w:val="right" w:pos="9020" w:leader="none"/>
      </w:tabs>
      <w:rPr>
        <w:rFonts w:ascii="Helvetica Neue" w:hAnsi="Helvetica Neue" w:eastAsia="Helvetica Neue" w:cs="Helvetica Neue"/>
        <w:sz w:val="24"/>
        <w:szCs w:val="24"/>
      </w:rPr>
    </w:pPr>
    <w:r>
      <w:rPr>
        <w:rFonts w:ascii="Helvetica Neue" w:hAnsi="Helvetica Neue" w:eastAsia="Helvetica Neue" w:cs="Helvetica Neue"/>
        <w:sz w:val="24"/>
        <w:szCs w:val="24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line="240" w:lineRule="auto"/>
      <w:tabs defTabSz="720">
        <w:tab w:val="right" w:pos="9020" w:leader="none"/>
      </w:tabs>
      <w:rPr>
        <w:rFonts w:ascii="Helvetica Neue" w:hAnsi="Helvetica Neue" w:eastAsia="Helvetica Neue" w:cs="Helvetica Neue"/>
        <w:sz w:val="24"/>
        <w:szCs w:val="24"/>
      </w:rPr>
    </w:pPr>
    <w:r>
      <w:rPr>
        <w:rFonts w:ascii="Helvetica Neue" w:hAnsi="Helvetica Neue" w:eastAsia="Helvetica Neue" w:cs="Helvetica Neue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43"/>
    </w:tmLastPosCaret>
    <w:tmLastPosAnchor>
      <w:tmLastPosPgfIdx w:val="0"/>
      <w:tmLastPosIdx w:val="0"/>
    </w:tmLastPosAnchor>
    <w:tmLastPosTblRect w:left="0" w:top="0" w:right="0" w:bottom="0"/>
  </w:tmLastPos>
  <w:tmAppRevision w:date="1726235614" w:val="1054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"/>
    <w:qFormat/>
    <w:pPr>
      <w:suppressAutoHyphens/>
      <w:hyphenationLines w:val="0"/>
    </w:pPr>
    <w:rPr>
      <w:rFonts w:ascii="Arial" w:hAnsi="Arial" w:eastAsia="Arial" w:cs="Arial"/>
      <w:kern w:val="1"/>
      <w:sz w:val="22"/>
      <w:szCs w:val="22"/>
      <w:lang w:val="ru-ru" w:eastAsia="zh-cn" w:bidi="ar-sa"/>
    </w:rPr>
  </w:style>
  <w:style w:type="paragraph" w:styleId="para9" w:customStyle="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12" w:customStyle="1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15" w:customStyle="1">
    <w:name w:val="Heading"/>
    <w:qFormat/>
    <w:basedOn w:val="para0"/>
    <w:next w:val="para16"/>
    <w:pPr>
      <w:spacing w:before="240" w:after="120"/>
      <w:keepNext/>
    </w:pPr>
    <w:rPr>
      <w:rFonts w:ascii="Liberation Sans" w:hAnsi="Liberation Sans" w:eastAsia="PingFang SC" w:cs="Arial Unicode MS"/>
      <w:sz w:val="28"/>
      <w:szCs w:val="28"/>
    </w:rPr>
  </w:style>
  <w:style w:type="paragraph" w:styleId="para16">
    <w:name w:val="Body Text"/>
    <w:qFormat/>
    <w:basedOn w:val="para0"/>
    <w:pPr>
      <w:spacing w:after="140"/>
    </w:pPr>
  </w:style>
  <w:style w:type="paragraph" w:styleId="para17">
    <w:name w:val="List"/>
    <w:qFormat/>
    <w:basedOn w:val="para16"/>
    <w:rPr>
      <w:rFonts w:cs="Arial Unicode MS"/>
    </w:rPr>
  </w:style>
  <w:style w:type="paragraph" w:styleId="para18">
    <w:name w:val="caption"/>
    <w:qFormat/>
    <w:basedOn w:val="para0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para19" w:customStyle="1">
    <w:name w:val="Index"/>
    <w:qFormat/>
    <w:basedOn w:val="para0"/>
    <w:pPr>
      <w:suppressLineNumbers/>
    </w:pPr>
    <w:rPr>
      <w:rFonts w:cs="Arial Unicode MS"/>
    </w:rPr>
  </w:style>
  <w:style w:type="paragraph" w:styleId="para20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21" w:customStyle="1">
    <w:name w:val="Обычный1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22" w:customStyle="1">
    <w:name w:val="Заголовок 11"/>
    <w:qFormat/>
    <w:basedOn w:val="para21"/>
    <w:next w:val="para21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3" w:customStyle="1">
    <w:name w:val="Заголовок 21"/>
    <w:qFormat/>
    <w:basedOn w:val="para21"/>
    <w:next w:val="para21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24" w:customStyle="1">
    <w:name w:val="Заголовок 31"/>
    <w:qFormat/>
    <w:basedOn w:val="para21"/>
    <w:next w:val="para21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25" w:customStyle="1">
    <w:name w:val="Заголовок 41"/>
    <w:qFormat/>
    <w:basedOn w:val="para21"/>
    <w:next w:val="para21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26" w:customStyle="1">
    <w:name w:val="Заголовок 51"/>
    <w:qFormat/>
    <w:basedOn w:val="para21"/>
    <w:next w:val="para21"/>
    <w:pPr>
      <w:spacing w:before="220" w:after="40"/>
      <w:keepNext/>
      <w:outlineLvl w:val="4"/>
      <w:keepLines/>
    </w:pPr>
    <w:rPr>
      <w:b/>
    </w:rPr>
  </w:style>
  <w:style w:type="paragraph" w:styleId="para27" w:customStyle="1">
    <w:name w:val="Заголовок 61"/>
    <w:qFormat/>
    <w:basedOn w:val="para21"/>
    <w:next w:val="para21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28" w:customStyle="1">
    <w:name w:val="Текст примечания1"/>
    <w:qFormat/>
    <w:basedOn w:val="para21"/>
    <w:pPr>
      <w:spacing w:line="240" w:lineRule="auto"/>
    </w:pPr>
    <w:rPr>
      <w:sz w:val="20"/>
      <w:szCs w:val="20"/>
    </w:rPr>
  </w:style>
  <w:style w:type="paragraph" w:styleId="para29" w:customStyle="1">
    <w:name w:val="Тема примечания1"/>
    <w:qFormat/>
    <w:basedOn w:val="para28"/>
    <w:next w:val="para28"/>
    <w:rPr>
      <w:b/>
      <w:bCs/>
    </w:rPr>
  </w:style>
  <w:style w:type="paragraph" w:styleId="para30">
    <w:name w:val="Subtitle"/>
    <w:qFormat/>
    <w:basedOn w:val="para21"/>
    <w:next w:val="para21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31" w:customStyle="1">
    <w:name w:val="Заголовок1"/>
    <w:qFormat/>
    <w:basedOn w:val="para21"/>
    <w:next w:val="para21"/>
    <w:pPr>
      <w:spacing w:before="480" w:after="120"/>
      <w:keepNext/>
      <w:keepLines/>
    </w:pPr>
    <w:rPr>
      <w:b/>
      <w:sz w:val="72"/>
      <w:szCs w:val="72"/>
    </w:rPr>
  </w:style>
  <w:style w:type="paragraph" w:styleId="para32" w:customStyle="1">
    <w:name w:val="Header &amp; Footer"/>
    <w:qFormat/>
    <w:pPr>
      <w:suppressAutoHyphens/>
      <w:hyphenationLines w:val="0"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4"/>
      <w:szCs w:val="24"/>
      <w:lang w:val="ru-ru" w:eastAsia="ru-ru" w:bidi="ar-sa"/>
    </w:rPr>
  </w:style>
  <w:style w:type="paragraph" w:styleId="para33" w:customStyle="1">
    <w:name w:val="Default"/>
    <w:qFormat/>
    <w:pPr>
      <w:spacing w:before="160" w:line="288" w:lineRule="auto"/>
      <w:suppressAutoHyphens/>
      <w:hyphenationLines w:val="0"/>
    </w:pPr>
    <w:rPr>
      <w:rFonts w:ascii="Helvetica Neue" w:hAnsi="Helvetica Neue" w:eastAsia="Helvetica Neue" w:cs="Helvetica Neue"/>
      <w:color w:val="000000"/>
      <w:kern w:val="1"/>
      <w:sz w:val="24"/>
      <w:szCs w:val="24"/>
      <w:lang w:val="ru-ru" w:eastAsia="ru-ru" w:bidi="ar-sa"/>
    </w:rPr>
  </w:style>
  <w:style w:type="paragraph" w:styleId="para34" w:customStyle="1">
    <w:name w:val="Рецензия1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35" w:customStyle="1">
    <w:name w:val="Рецензия2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36" w:customStyle="1">
    <w:name w:val="Подзаголовок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37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38" w:customStyle="1">
    <w:name w:val="annotation subject"/>
    <w:qFormat/>
    <w:basedOn w:val="para37"/>
    <w:next w:val="para37"/>
    <w:rPr>
      <w:b/>
      <w:bCs/>
    </w:rPr>
  </w:style>
  <w:style w:type="paragraph" w:styleId="para39" w:customStyle="1">
    <w:name w:val="Header and Footer"/>
    <w:qFormat/>
    <w:basedOn w:val="para0"/>
  </w:style>
  <w:style w:type="paragraph" w:styleId="para40">
    <w:name w:val="Header"/>
    <w:qFormat/>
    <w:basedOn w:val="para39"/>
  </w:style>
  <w:style w:type="paragraph" w:styleId="para41">
    <w:name w:val="Footer"/>
    <w:qFormat/>
    <w:basedOn w:val="para39"/>
  </w:style>
  <w:style w:type="paragraph" w:styleId="para42" w:customStyle="1">
    <w:name w:val="Subtitle"/>
    <w:qFormat/>
    <w:basedOn w:val="para0"/>
    <w:next w:val="para0"/>
    <w:pPr>
      <w:spacing w:before="360" w:after="80"/>
      <w:keepNext/>
      <w:keepLines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Знак примечания1"/>
    <w:basedOn w:val="char0"/>
    <w:rPr>
      <w:sz w:val="16"/>
      <w:szCs w:val="16"/>
    </w:rPr>
  </w:style>
  <w:style w:type="character" w:styleId="char2">
    <w:name w:val="Hyperlink"/>
    <w:rPr>
      <w:u w:color="auto" w:val="single"/>
    </w:rPr>
  </w:style>
  <w:style w:type="character" w:styleId="char3" w:customStyle="1">
    <w:name w:val="None"/>
  </w:style>
  <w:style w:type="character" w:styleId="char4" w:customStyle="1">
    <w:name w:val="Hyperlink.0"/>
    <w:basedOn w:val="char3"/>
    <w:rPr>
      <w:color w:val="00b0f0"/>
      <w:sz w:val="24"/>
      <w:szCs w:val="24"/>
      <w:u w:color="00b0f0" w:val="single"/>
      <w:lang w:val="en-us"/>
    </w:rPr>
  </w:style>
  <w:style w:type="character" w:styleId="char5" w:customStyle="1">
    <w:name w:val="Текст примечания Знак"/>
    <w:basedOn w:val="char0"/>
    <w:rPr>
      <w:rFonts w:ascii="Arial" w:hAnsi="Arial" w:eastAsia="Arial Unicode MS" w:cs="Arial Unicode MS"/>
      <w:color w:val="000000"/>
      <w:u w:color="000000" w:val="none"/>
    </w:rPr>
  </w:style>
  <w:style w:type="character" w:styleId="char6" w:customStyle="1">
    <w:name w:val="Тема примечания Знак"/>
    <w:basedOn w:val="char5"/>
    <w:rPr>
      <w:rFonts w:ascii="Arial" w:hAnsi="Arial" w:eastAsia="Arial Unicode MS" w:cs="Arial Unicode MS"/>
      <w:b/>
      <w:bCs/>
      <w:color w:val="000000"/>
      <w:u w:color="000000" w:val="none"/>
    </w:rPr>
  </w:style>
  <w:style w:type="character" w:styleId="char7" w:customStyle="1">
    <w:name w:val="annotation reference"/>
    <w:basedOn w:val="char0"/>
    <w:rPr>
      <w:sz w:val="16"/>
      <w:szCs w:val="16"/>
    </w:rPr>
  </w:style>
  <w:style w:type="character" w:styleId="char8" w:customStyle="1">
    <w:name w:val="Текст примечания Знак1"/>
    <w:basedOn w:val="char0"/>
    <w:rPr>
      <w:sz w:val="20"/>
      <w:szCs w:val="20"/>
    </w:rPr>
  </w:style>
  <w:style w:type="character" w:styleId="char9" w:customStyle="1">
    <w:name w:val="Тема примечания Знак1"/>
    <w:basedOn w:val="char8"/>
    <w:rPr>
      <w:b/>
      <w:bCs/>
      <w:sz w:val="20"/>
      <w:szCs w:val="20"/>
    </w:rPr>
  </w:style>
  <w:style w:type="character" w:styleId="char10" w:customStyle="1">
    <w:name w:val="Line Numbering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  <w:sz w:val="24"/>
      <w:szCs w:val="24"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"/>
    <w:qFormat/>
    <w:pPr>
      <w:suppressAutoHyphens/>
      <w:hyphenationLines w:val="0"/>
    </w:pPr>
    <w:rPr>
      <w:rFonts w:ascii="Arial" w:hAnsi="Arial" w:eastAsia="Arial" w:cs="Arial"/>
      <w:kern w:val="1"/>
      <w:sz w:val="22"/>
      <w:szCs w:val="22"/>
      <w:lang w:val="ru-ru" w:eastAsia="zh-cn" w:bidi="ar-sa"/>
    </w:rPr>
  </w:style>
  <w:style w:type="paragraph" w:styleId="para9" w:customStyle="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Heading 3"/>
    <w:qFormat/>
    <w:basedOn w:val="para0"/>
    <w:next w:val="para0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12" w:customStyle="1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13" w:customStyle="1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</w:rPr>
  </w:style>
  <w:style w:type="paragraph" w:styleId="para14" w:customStyle="1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15" w:customStyle="1">
    <w:name w:val="Heading"/>
    <w:qFormat/>
    <w:basedOn w:val="para0"/>
    <w:next w:val="para16"/>
    <w:pPr>
      <w:spacing w:before="240" w:after="120"/>
      <w:keepNext/>
    </w:pPr>
    <w:rPr>
      <w:rFonts w:ascii="Liberation Sans" w:hAnsi="Liberation Sans" w:eastAsia="PingFang SC" w:cs="Arial Unicode MS"/>
      <w:sz w:val="28"/>
      <w:szCs w:val="28"/>
    </w:rPr>
  </w:style>
  <w:style w:type="paragraph" w:styleId="para16">
    <w:name w:val="Body Text"/>
    <w:qFormat/>
    <w:basedOn w:val="para0"/>
    <w:pPr>
      <w:spacing w:after="140"/>
    </w:pPr>
  </w:style>
  <w:style w:type="paragraph" w:styleId="para17">
    <w:name w:val="List"/>
    <w:qFormat/>
    <w:basedOn w:val="para16"/>
    <w:rPr>
      <w:rFonts w:cs="Arial Unicode MS"/>
    </w:rPr>
  </w:style>
  <w:style w:type="paragraph" w:styleId="para18">
    <w:name w:val="caption"/>
    <w:qFormat/>
    <w:basedOn w:val="para0"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para19" w:customStyle="1">
    <w:name w:val="Index"/>
    <w:qFormat/>
    <w:basedOn w:val="para0"/>
    <w:pPr>
      <w:suppressLineNumbers/>
    </w:pPr>
    <w:rPr>
      <w:rFonts w:cs="Arial Unicode MS"/>
    </w:rPr>
  </w:style>
  <w:style w:type="paragraph" w:styleId="para20" w:customStyle="1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21" w:customStyle="1">
    <w:name w:val="Обычный1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22" w:customStyle="1">
    <w:name w:val="Заголовок 11"/>
    <w:qFormat/>
    <w:basedOn w:val="para21"/>
    <w:next w:val="para21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3" w:customStyle="1">
    <w:name w:val="Заголовок 21"/>
    <w:qFormat/>
    <w:basedOn w:val="para21"/>
    <w:next w:val="para21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24" w:customStyle="1">
    <w:name w:val="Заголовок 31"/>
    <w:qFormat/>
    <w:basedOn w:val="para21"/>
    <w:next w:val="para21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25" w:customStyle="1">
    <w:name w:val="Заголовок 41"/>
    <w:qFormat/>
    <w:basedOn w:val="para21"/>
    <w:next w:val="para21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26" w:customStyle="1">
    <w:name w:val="Заголовок 51"/>
    <w:qFormat/>
    <w:basedOn w:val="para21"/>
    <w:next w:val="para21"/>
    <w:pPr>
      <w:spacing w:before="220" w:after="40"/>
      <w:keepNext/>
      <w:outlineLvl w:val="4"/>
      <w:keepLines/>
    </w:pPr>
    <w:rPr>
      <w:b/>
    </w:rPr>
  </w:style>
  <w:style w:type="paragraph" w:styleId="para27" w:customStyle="1">
    <w:name w:val="Заголовок 61"/>
    <w:qFormat/>
    <w:basedOn w:val="para21"/>
    <w:next w:val="para21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28" w:customStyle="1">
    <w:name w:val="Текст примечания1"/>
    <w:qFormat/>
    <w:basedOn w:val="para21"/>
    <w:pPr>
      <w:spacing w:line="240" w:lineRule="auto"/>
    </w:pPr>
    <w:rPr>
      <w:sz w:val="20"/>
      <w:szCs w:val="20"/>
    </w:rPr>
  </w:style>
  <w:style w:type="paragraph" w:styleId="para29" w:customStyle="1">
    <w:name w:val="Тема примечания1"/>
    <w:qFormat/>
    <w:basedOn w:val="para28"/>
    <w:next w:val="para28"/>
    <w:rPr>
      <w:b/>
      <w:bCs/>
    </w:rPr>
  </w:style>
  <w:style w:type="paragraph" w:styleId="para30">
    <w:name w:val="Subtitle"/>
    <w:qFormat/>
    <w:basedOn w:val="para21"/>
    <w:next w:val="para21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31" w:customStyle="1">
    <w:name w:val="Заголовок1"/>
    <w:qFormat/>
    <w:basedOn w:val="para21"/>
    <w:next w:val="para21"/>
    <w:pPr>
      <w:spacing w:before="480" w:after="120"/>
      <w:keepNext/>
      <w:keepLines/>
    </w:pPr>
    <w:rPr>
      <w:b/>
      <w:sz w:val="72"/>
      <w:szCs w:val="72"/>
    </w:rPr>
  </w:style>
  <w:style w:type="paragraph" w:styleId="para32" w:customStyle="1">
    <w:name w:val="Header &amp; Footer"/>
    <w:qFormat/>
    <w:pPr>
      <w:suppressAutoHyphens/>
      <w:hyphenationLines w:val="0"/>
      <w:tabs defTabSz="720">
        <w:tab w:val="right" w:pos="9020" w:leader="none"/>
      </w:tabs>
    </w:pPr>
    <w:rPr>
      <w:rFonts w:ascii="Helvetica Neue" w:hAnsi="Helvetica Neue" w:eastAsia="Arial Unicode MS" w:cs="Arial Unicode MS"/>
      <w:color w:val="000000"/>
      <w:kern w:val="1"/>
      <w:sz w:val="24"/>
      <w:szCs w:val="24"/>
      <w:lang w:val="ru-ru" w:eastAsia="ru-ru" w:bidi="ar-sa"/>
    </w:rPr>
  </w:style>
  <w:style w:type="paragraph" w:styleId="para33" w:customStyle="1">
    <w:name w:val="Default"/>
    <w:qFormat/>
    <w:pPr>
      <w:spacing w:before="160" w:line="288" w:lineRule="auto"/>
      <w:suppressAutoHyphens/>
      <w:hyphenationLines w:val="0"/>
    </w:pPr>
    <w:rPr>
      <w:rFonts w:ascii="Helvetica Neue" w:hAnsi="Helvetica Neue" w:eastAsia="Helvetica Neue" w:cs="Helvetica Neue"/>
      <w:color w:val="000000"/>
      <w:kern w:val="1"/>
      <w:sz w:val="24"/>
      <w:szCs w:val="24"/>
      <w:lang w:val="ru-ru" w:eastAsia="ru-ru" w:bidi="ar-sa"/>
    </w:rPr>
  </w:style>
  <w:style w:type="paragraph" w:styleId="para34" w:customStyle="1">
    <w:name w:val="Рецензия1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35" w:customStyle="1">
    <w:name w:val="Рецензия2"/>
    <w:qFormat/>
    <w:pPr>
      <w:suppressAutoHyphens/>
      <w:hyphenationLines w:val="0"/>
    </w:pPr>
    <w:rPr>
      <w:rFonts w:ascii="Arial" w:hAnsi="Arial" w:eastAsia="Arial Unicode MS" w:cs="Arial Unicode MS"/>
      <w:color w:val="000000"/>
      <w:kern w:val="1"/>
      <w:sz w:val="22"/>
      <w:szCs w:val="22"/>
      <w:u w:color="000000" w:val="none"/>
      <w:lang w:val="ru-ru" w:eastAsia="ru-ru" w:bidi="ar-sa"/>
    </w:rPr>
  </w:style>
  <w:style w:type="paragraph" w:styleId="para36" w:customStyle="1">
    <w:name w:val="Подзаголовок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37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38" w:customStyle="1">
    <w:name w:val="annotation subject"/>
    <w:qFormat/>
    <w:basedOn w:val="para37"/>
    <w:next w:val="para37"/>
    <w:rPr>
      <w:b/>
      <w:bCs/>
    </w:rPr>
  </w:style>
  <w:style w:type="paragraph" w:styleId="para39" w:customStyle="1">
    <w:name w:val="Header and Footer"/>
    <w:qFormat/>
    <w:basedOn w:val="para0"/>
  </w:style>
  <w:style w:type="paragraph" w:styleId="para40">
    <w:name w:val="Header"/>
    <w:qFormat/>
    <w:basedOn w:val="para39"/>
  </w:style>
  <w:style w:type="paragraph" w:styleId="para41">
    <w:name w:val="Footer"/>
    <w:qFormat/>
    <w:basedOn w:val="para39"/>
  </w:style>
  <w:style w:type="paragraph" w:styleId="para42" w:customStyle="1">
    <w:name w:val="Subtitle"/>
    <w:qFormat/>
    <w:basedOn w:val="para0"/>
    <w:next w:val="para0"/>
    <w:pPr>
      <w:spacing w:before="360" w:after="80"/>
      <w:keepNext/>
      <w:keepLines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Знак примечания1"/>
    <w:basedOn w:val="char0"/>
    <w:rPr>
      <w:sz w:val="16"/>
      <w:szCs w:val="16"/>
    </w:rPr>
  </w:style>
  <w:style w:type="character" w:styleId="char2">
    <w:name w:val="Hyperlink"/>
    <w:rPr>
      <w:u w:color="auto" w:val="single"/>
    </w:rPr>
  </w:style>
  <w:style w:type="character" w:styleId="char3" w:customStyle="1">
    <w:name w:val="None"/>
  </w:style>
  <w:style w:type="character" w:styleId="char4" w:customStyle="1">
    <w:name w:val="Hyperlink.0"/>
    <w:basedOn w:val="char3"/>
    <w:rPr>
      <w:color w:val="00b0f0"/>
      <w:sz w:val="24"/>
      <w:szCs w:val="24"/>
      <w:u w:color="00b0f0" w:val="single"/>
      <w:lang w:val="en-us"/>
    </w:rPr>
  </w:style>
  <w:style w:type="character" w:styleId="char5" w:customStyle="1">
    <w:name w:val="Текст примечания Знак"/>
    <w:basedOn w:val="char0"/>
    <w:rPr>
      <w:rFonts w:ascii="Arial" w:hAnsi="Arial" w:eastAsia="Arial Unicode MS" w:cs="Arial Unicode MS"/>
      <w:color w:val="000000"/>
      <w:u w:color="000000" w:val="none"/>
    </w:rPr>
  </w:style>
  <w:style w:type="character" w:styleId="char6" w:customStyle="1">
    <w:name w:val="Тема примечания Знак"/>
    <w:basedOn w:val="char5"/>
    <w:rPr>
      <w:rFonts w:ascii="Arial" w:hAnsi="Arial" w:eastAsia="Arial Unicode MS" w:cs="Arial Unicode MS"/>
      <w:b/>
      <w:bCs/>
      <w:color w:val="000000"/>
      <w:u w:color="000000" w:val="none"/>
    </w:rPr>
  </w:style>
  <w:style w:type="character" w:styleId="char7" w:customStyle="1">
    <w:name w:val="annotation reference"/>
    <w:basedOn w:val="char0"/>
    <w:rPr>
      <w:sz w:val="16"/>
      <w:szCs w:val="16"/>
    </w:rPr>
  </w:style>
  <w:style w:type="character" w:styleId="char8" w:customStyle="1">
    <w:name w:val="Текст примечания Знак1"/>
    <w:basedOn w:val="char0"/>
    <w:rPr>
      <w:sz w:val="20"/>
      <w:szCs w:val="20"/>
    </w:rPr>
  </w:style>
  <w:style w:type="character" w:styleId="char9" w:customStyle="1">
    <w:name w:val="Тема примечания Знак1"/>
    <w:basedOn w:val="char8"/>
    <w:rPr>
      <w:b/>
      <w:bCs/>
      <w:sz w:val="20"/>
      <w:szCs w:val="20"/>
    </w:rPr>
  </w:style>
  <w:style w:type="character" w:styleId="char10" w:customStyle="1">
    <w:name w:val="Line Numbering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ges-2.org/theories-and-practices-of-attention-open-call-for-researchers" TargetMode="External"/><Relationship Id="rId8" Type="http://schemas.openxmlformats.org/officeDocument/2006/relationships/hyperlink" Target="mailto:research@v-a-c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noFill/>
        </a:ln>
        <a:effectLst>
          <a:outerShdw blurRad="38100" dist="19685" dir="5400000" rotWithShape="0">
            <a:srgbClr val="000000">
              <a:alpha val="38000"/>
            </a:srgbClr>
          </a:outerShdw>
        </a:effectLst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Лера Конончук</cp:lastModifiedBy>
  <cp:revision>2</cp:revision>
  <dcterms:created xsi:type="dcterms:W3CDTF">2024-07-23T20:21:00Z</dcterms:created>
  <dcterms:modified xsi:type="dcterms:W3CDTF">2024-09-13T13:53:34Z</dcterms:modified>
</cp:coreProperties>
</file>